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B6" w:rsidRPr="00AA33B6" w:rsidRDefault="00AA33B6" w:rsidP="00AA33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48"/>
        </w:rPr>
      </w:pPr>
      <w:proofErr w:type="spellStart"/>
      <w:r w:rsidRPr="00AA33B6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48"/>
        </w:rPr>
        <w:t>Apostila</w:t>
      </w:r>
      <w:proofErr w:type="spellEnd"/>
      <w:r w:rsidRPr="00AA33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AA33B6" w:rsidRPr="00AA33B6" w:rsidRDefault="00AA33B6" w:rsidP="00AA3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Începînd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cu data de 16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martie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2007,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Republica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Moldova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intrat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in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vigoare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 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prevederile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Convenţiei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Haga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din 05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octombrie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1961 cu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privire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suprimarea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cerinţei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supralegalizării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străine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A33B6" w:rsidRPr="00AA33B6" w:rsidRDefault="00AA33B6" w:rsidP="00AA33B6">
      <w:pPr>
        <w:pStyle w:val="NormalWeb"/>
        <w:spacing w:after="0" w:afterAutospacing="0"/>
        <w:rPr>
          <w:color w:val="0D0D0D" w:themeColor="text1" w:themeTint="F2"/>
        </w:rPr>
      </w:pPr>
      <w:proofErr w:type="spellStart"/>
      <w:r w:rsidRPr="00AA33B6">
        <w:rPr>
          <w:color w:val="0D0D0D" w:themeColor="text1" w:themeTint="F2"/>
        </w:rPr>
        <w:t>Întru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realizarea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prevederilor</w:t>
      </w:r>
      <w:proofErr w:type="spellEnd"/>
      <w:r w:rsidRPr="00AA33B6">
        <w:rPr>
          <w:color w:val="0D0D0D" w:themeColor="text1" w:themeTint="F2"/>
        </w:rPr>
        <w:t xml:space="preserve"> </w:t>
      </w:r>
      <w:hyperlink r:id="rId5" w:history="1"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Legii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Nr. 42-XVI din 02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martie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2006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pentru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aderarea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la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Convenţia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cu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privire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la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suprimarea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cerinţei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supralegalizării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actelor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oficiale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străine</w:t>
        </w:r>
        <w:proofErr w:type="spellEnd"/>
      </w:hyperlink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şi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potrivit</w:t>
      </w:r>
      <w:proofErr w:type="spellEnd"/>
      <w:r w:rsidRPr="00AA33B6">
        <w:rPr>
          <w:color w:val="0D0D0D" w:themeColor="text1" w:themeTint="F2"/>
        </w:rPr>
        <w:t xml:space="preserve"> </w:t>
      </w:r>
      <w:hyperlink r:id="rId6" w:history="1"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Hotărîrii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Guvernului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nr.163 din 15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februarie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2007 cu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privire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la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optimizarea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structurii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Ministerului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Justiţiei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şi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aprobarea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Regulamentului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privind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aplicarea</w:t>
        </w:r>
        <w:proofErr w:type="spellEnd"/>
        <w:r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Pr="00AA33B6">
          <w:rPr>
            <w:rStyle w:val="Hyperlink"/>
            <w:color w:val="0D0D0D" w:themeColor="text1" w:themeTint="F2"/>
            <w:u w:val="none"/>
          </w:rPr>
          <w:t>apostilei</w:t>
        </w:r>
        <w:proofErr w:type="spellEnd"/>
      </w:hyperlink>
      <w:r w:rsidRPr="00AA33B6">
        <w:rPr>
          <w:color w:val="0D0D0D" w:themeColor="text1" w:themeTint="F2"/>
        </w:rPr>
        <w:t xml:space="preserve">, </w:t>
      </w:r>
      <w:proofErr w:type="spellStart"/>
      <w:r w:rsidRPr="00AA33B6">
        <w:rPr>
          <w:color w:val="0D0D0D" w:themeColor="text1" w:themeTint="F2"/>
        </w:rPr>
        <w:t>în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cadrul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Ministerului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Justiţiei</w:t>
      </w:r>
      <w:proofErr w:type="spellEnd"/>
      <w:r w:rsidRPr="00AA33B6">
        <w:rPr>
          <w:color w:val="0D0D0D" w:themeColor="text1" w:themeTint="F2"/>
        </w:rPr>
        <w:t xml:space="preserve"> a </w:t>
      </w:r>
      <w:proofErr w:type="spellStart"/>
      <w:r w:rsidRPr="00AA33B6">
        <w:rPr>
          <w:color w:val="0D0D0D" w:themeColor="text1" w:themeTint="F2"/>
        </w:rPr>
        <w:t>fost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înfiinţată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Direcţia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Apostilă</w:t>
      </w:r>
      <w:proofErr w:type="spellEnd"/>
      <w:r w:rsidRPr="00AA33B6">
        <w:rPr>
          <w:color w:val="0D0D0D" w:themeColor="text1" w:themeTint="F2"/>
        </w:rPr>
        <w:t xml:space="preserve">, </w:t>
      </w:r>
      <w:proofErr w:type="spellStart"/>
      <w:r w:rsidRPr="00AA33B6">
        <w:rPr>
          <w:color w:val="0D0D0D" w:themeColor="text1" w:themeTint="F2"/>
        </w:rPr>
        <w:t>abilitată</w:t>
      </w:r>
      <w:proofErr w:type="spellEnd"/>
      <w:r w:rsidRPr="00AA33B6">
        <w:rPr>
          <w:color w:val="0D0D0D" w:themeColor="text1" w:themeTint="F2"/>
        </w:rPr>
        <w:t xml:space="preserve"> cu </w:t>
      </w:r>
      <w:proofErr w:type="spellStart"/>
      <w:r w:rsidRPr="00AA33B6">
        <w:rPr>
          <w:color w:val="0D0D0D" w:themeColor="text1" w:themeTint="F2"/>
        </w:rPr>
        <w:t>dreptul</w:t>
      </w:r>
      <w:proofErr w:type="spellEnd"/>
      <w:r w:rsidRPr="00AA33B6">
        <w:rPr>
          <w:color w:val="0D0D0D" w:themeColor="text1" w:themeTint="F2"/>
        </w:rPr>
        <w:t xml:space="preserve"> de </w:t>
      </w:r>
      <w:proofErr w:type="spellStart"/>
      <w:r w:rsidRPr="00AA33B6">
        <w:rPr>
          <w:color w:val="0D0D0D" w:themeColor="text1" w:themeTint="F2"/>
        </w:rPr>
        <w:t>aplicare</w:t>
      </w:r>
      <w:proofErr w:type="spellEnd"/>
      <w:r w:rsidRPr="00AA33B6">
        <w:rPr>
          <w:color w:val="0D0D0D" w:themeColor="text1" w:themeTint="F2"/>
        </w:rPr>
        <w:t xml:space="preserve"> a </w:t>
      </w:r>
      <w:proofErr w:type="spellStart"/>
      <w:r w:rsidRPr="00AA33B6">
        <w:rPr>
          <w:color w:val="0D0D0D" w:themeColor="text1" w:themeTint="F2"/>
        </w:rPr>
        <w:t>apostilei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pe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actele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oficiale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întocmite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pe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teritoriul</w:t>
      </w:r>
      <w:proofErr w:type="spellEnd"/>
      <w:r w:rsidRPr="00AA33B6">
        <w:rPr>
          <w:color w:val="0D0D0D" w:themeColor="text1" w:themeTint="F2"/>
        </w:rPr>
        <w:t xml:space="preserve"> </w:t>
      </w:r>
      <w:proofErr w:type="spellStart"/>
      <w:r w:rsidRPr="00AA33B6">
        <w:rPr>
          <w:color w:val="0D0D0D" w:themeColor="text1" w:themeTint="F2"/>
        </w:rPr>
        <w:t>Republicii</w:t>
      </w:r>
      <w:proofErr w:type="spellEnd"/>
      <w:r w:rsidRPr="00AA33B6">
        <w:rPr>
          <w:color w:val="0D0D0D" w:themeColor="text1" w:themeTint="F2"/>
        </w:rPr>
        <w:t xml:space="preserve"> Moldova.</w:t>
      </w:r>
    </w:p>
    <w:p w:rsidR="00AA33B6" w:rsidRPr="00AA33B6" w:rsidRDefault="00A509F1" w:rsidP="00AA33B6">
      <w:pPr>
        <w:pStyle w:val="NormalWeb"/>
        <w:spacing w:after="0" w:afterAutospacing="0"/>
        <w:rPr>
          <w:color w:val="0D0D0D" w:themeColor="text1" w:themeTint="F2"/>
        </w:rPr>
      </w:pPr>
      <w:hyperlink r:id="rId7" w:history="1"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Convenţia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de la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Haga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din 5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octombrie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1961 cu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privire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la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suprimarea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cerinţei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supralegalizării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actelor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oficiale</w:t>
        </w:r>
        <w:proofErr w:type="spellEnd"/>
        <w:r w:rsidR="00AA33B6" w:rsidRPr="00AA33B6">
          <w:rPr>
            <w:rStyle w:val="Hyperlink"/>
            <w:color w:val="0D0D0D" w:themeColor="text1" w:themeTint="F2"/>
            <w:u w:val="none"/>
          </w:rPr>
          <w:t xml:space="preserve"> </w:t>
        </w:r>
        <w:proofErr w:type="spellStart"/>
        <w:r w:rsidR="00AA33B6" w:rsidRPr="00AA33B6">
          <w:rPr>
            <w:rStyle w:val="Hyperlink"/>
            <w:color w:val="0D0D0D" w:themeColor="text1" w:themeTint="F2"/>
            <w:u w:val="none"/>
          </w:rPr>
          <w:t>străine</w:t>
        </w:r>
        <w:proofErr w:type="spellEnd"/>
      </w:hyperlink>
      <w:r w:rsidR="00AA33B6" w:rsidRPr="00AA33B6">
        <w:rPr>
          <w:color w:val="0D0D0D" w:themeColor="text1" w:themeTint="F2"/>
        </w:rPr>
        <w:t xml:space="preserve">, </w:t>
      </w:r>
      <w:proofErr w:type="spellStart"/>
      <w:r w:rsidR="00AA33B6" w:rsidRPr="00AA33B6">
        <w:rPr>
          <w:color w:val="0D0D0D" w:themeColor="text1" w:themeTint="F2"/>
        </w:rPr>
        <w:t>permite</w:t>
      </w:r>
      <w:proofErr w:type="spellEnd"/>
      <w:r w:rsidR="00AA33B6" w:rsidRPr="00AA33B6">
        <w:rPr>
          <w:color w:val="0D0D0D" w:themeColor="text1" w:themeTint="F2"/>
        </w:rPr>
        <w:t xml:space="preserve"> o </w:t>
      </w:r>
      <w:proofErr w:type="spellStart"/>
      <w:r w:rsidR="00AA33B6" w:rsidRPr="00AA33B6">
        <w:rPr>
          <w:color w:val="0D0D0D" w:themeColor="text1" w:themeTint="F2"/>
        </w:rPr>
        <w:t>simplificare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esenţială</w:t>
      </w:r>
      <w:proofErr w:type="spellEnd"/>
      <w:r w:rsidR="00AA33B6" w:rsidRPr="00AA33B6">
        <w:rPr>
          <w:color w:val="0D0D0D" w:themeColor="text1" w:themeTint="F2"/>
        </w:rPr>
        <w:t xml:space="preserve"> a </w:t>
      </w:r>
      <w:proofErr w:type="spellStart"/>
      <w:r w:rsidR="00AA33B6" w:rsidRPr="00AA33B6">
        <w:rPr>
          <w:color w:val="0D0D0D" w:themeColor="text1" w:themeTint="F2"/>
        </w:rPr>
        <w:t>procedurii</w:t>
      </w:r>
      <w:proofErr w:type="spellEnd"/>
      <w:r w:rsidR="00AA33B6" w:rsidRPr="00AA33B6">
        <w:rPr>
          <w:color w:val="0D0D0D" w:themeColor="text1" w:themeTint="F2"/>
        </w:rPr>
        <w:t xml:space="preserve"> de </w:t>
      </w:r>
      <w:proofErr w:type="spellStart"/>
      <w:r w:rsidR="00AA33B6" w:rsidRPr="00AA33B6">
        <w:rPr>
          <w:color w:val="0D0D0D" w:themeColor="text1" w:themeTint="F2"/>
        </w:rPr>
        <w:t>recunoaşterea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în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străinătate</w:t>
      </w:r>
      <w:proofErr w:type="spellEnd"/>
      <w:r w:rsidR="00AA33B6" w:rsidRPr="00AA33B6">
        <w:rPr>
          <w:color w:val="0D0D0D" w:themeColor="text1" w:themeTint="F2"/>
        </w:rPr>
        <w:t xml:space="preserve"> a </w:t>
      </w:r>
      <w:proofErr w:type="spellStart"/>
      <w:r w:rsidR="00AA33B6" w:rsidRPr="00AA33B6">
        <w:rPr>
          <w:color w:val="0D0D0D" w:themeColor="text1" w:themeTint="F2"/>
        </w:rPr>
        <w:t>actelor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oficiale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întocmite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pe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teritoriul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Republicii</w:t>
      </w:r>
      <w:proofErr w:type="spellEnd"/>
      <w:r w:rsidR="00AA33B6" w:rsidRPr="00AA33B6">
        <w:rPr>
          <w:color w:val="0D0D0D" w:themeColor="text1" w:themeTint="F2"/>
        </w:rPr>
        <w:t xml:space="preserve"> Moldova, </w:t>
      </w:r>
      <w:proofErr w:type="spellStart"/>
      <w:r w:rsidR="00AA33B6" w:rsidRPr="00AA33B6">
        <w:rPr>
          <w:color w:val="0D0D0D" w:themeColor="text1" w:themeTint="F2"/>
        </w:rPr>
        <w:t>necesare</w:t>
      </w:r>
      <w:proofErr w:type="spellEnd"/>
      <w:r w:rsidR="00AA33B6" w:rsidRPr="00AA33B6">
        <w:rPr>
          <w:color w:val="0D0D0D" w:themeColor="text1" w:themeTint="F2"/>
        </w:rPr>
        <w:t xml:space="preserve"> de a </w:t>
      </w:r>
      <w:proofErr w:type="spellStart"/>
      <w:r w:rsidR="00AA33B6" w:rsidRPr="00AA33B6">
        <w:rPr>
          <w:color w:val="0D0D0D" w:themeColor="text1" w:themeTint="F2"/>
        </w:rPr>
        <w:t>fi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utilizate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pe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teritoriul</w:t>
      </w:r>
      <w:proofErr w:type="spellEnd"/>
      <w:r w:rsidR="00AA33B6" w:rsidRPr="00AA33B6">
        <w:rPr>
          <w:color w:val="0D0D0D" w:themeColor="text1" w:themeTint="F2"/>
        </w:rPr>
        <w:t xml:space="preserve"> </w:t>
      </w:r>
      <w:proofErr w:type="spellStart"/>
      <w:r w:rsidR="00AA33B6" w:rsidRPr="00AA33B6">
        <w:rPr>
          <w:color w:val="0D0D0D" w:themeColor="text1" w:themeTint="F2"/>
        </w:rPr>
        <w:t>unui</w:t>
      </w:r>
      <w:proofErr w:type="spellEnd"/>
      <w:r w:rsidR="00AA33B6" w:rsidRPr="00AA33B6">
        <w:rPr>
          <w:color w:val="0D0D0D" w:themeColor="text1" w:themeTint="F2"/>
        </w:rPr>
        <w:t xml:space="preserve"> alt stat </w:t>
      </w:r>
      <w:proofErr w:type="spellStart"/>
      <w:r w:rsidR="00AA33B6" w:rsidRPr="00AA33B6">
        <w:rPr>
          <w:color w:val="0D0D0D" w:themeColor="text1" w:themeTint="F2"/>
        </w:rPr>
        <w:t>membru</w:t>
      </w:r>
      <w:proofErr w:type="spellEnd"/>
      <w:r w:rsidR="00AA33B6" w:rsidRPr="00AA33B6">
        <w:rPr>
          <w:color w:val="0D0D0D" w:themeColor="text1" w:themeTint="F2"/>
        </w:rPr>
        <w:t xml:space="preserve"> al </w:t>
      </w:r>
      <w:proofErr w:type="spellStart"/>
      <w:r w:rsidR="00AA33B6" w:rsidRPr="00AA33B6">
        <w:rPr>
          <w:color w:val="0D0D0D" w:themeColor="text1" w:themeTint="F2"/>
        </w:rPr>
        <w:t>convenţiei</w:t>
      </w:r>
      <w:proofErr w:type="spellEnd"/>
      <w:r w:rsidR="00AA33B6" w:rsidRPr="00AA33B6">
        <w:rPr>
          <w:color w:val="0D0D0D" w:themeColor="text1" w:themeTint="F2"/>
        </w:rPr>
        <w:t>.</w:t>
      </w:r>
    </w:p>
    <w:p w:rsidR="00AA33B6" w:rsidRPr="00D6535D" w:rsidRDefault="00AA33B6" w:rsidP="00AA33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proofErr w:type="spellStart"/>
      <w:r w:rsidRPr="00AA33B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Acte</w:t>
      </w:r>
      <w:proofErr w:type="spellEnd"/>
      <w:r w:rsidRPr="00AA33B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proofErr w:type="gramStart"/>
      <w:r w:rsidRPr="00AA33B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ce</w:t>
      </w:r>
      <w:proofErr w:type="spellEnd"/>
      <w:proofErr w:type="gramEnd"/>
      <w:r w:rsidRPr="00AA33B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se </w:t>
      </w:r>
      <w:proofErr w:type="spellStart"/>
      <w:r w:rsidRPr="00AA33B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apostilează</w:t>
      </w:r>
      <w:proofErr w:type="spellEnd"/>
    </w:p>
    <w:p w:rsidR="00AA33B6" w:rsidRPr="00D6535D" w:rsidRDefault="00AA33B6" w:rsidP="00AA33B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simplificat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mult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aceasta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procedura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constă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unei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ştampile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Haga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)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documente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le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autentifica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/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internaţional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fapt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hyperlink r:id="rId8" w:history="1"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ştampila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de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formă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pătrată</w:t>
        </w:r>
        <w:proofErr w:type="spellEnd"/>
      </w:hyperlink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(cu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dimensiunile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10x10 cm),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toate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9" w:history="1"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statele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membre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ale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Convenţiei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de la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Haga</w:t>
        </w:r>
        <w:proofErr w:type="spellEnd"/>
      </w:hyperlink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direct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fie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prelungire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acestuia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indiferent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ţara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toate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ştampile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următoarea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denumire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- Convention de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Haye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du 5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Octobre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1961)</w:t>
      </w:r>
    </w:p>
    <w:p w:rsidR="00AA33B6" w:rsidRPr="00D6535D" w:rsidRDefault="00AA33B6" w:rsidP="00AA33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Potrivit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10" w:history="1"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Regulamentului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privind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aplicarea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apostilei</w:t>
        </w:r>
        <w:proofErr w:type="spellEnd"/>
      </w:hyperlink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prezintă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doar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întocmite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teritoriul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Republicii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Moldova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urmează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producă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efecte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juridice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teritoriul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unui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11" w:history="1"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stat, parte la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Convenţia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de la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Haga</w:t>
        </w:r>
        <w:proofErr w:type="spellEnd"/>
      </w:hyperlink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Ministerul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Justiţiei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responsabil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următoarele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interesul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fizice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juridice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AA33B6" w:rsidRPr="00D6535D" w:rsidRDefault="00AA33B6" w:rsidP="00AA33B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a) </w:t>
      </w:r>
      <w:proofErr w:type="spell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de stare </w:t>
      </w:r>
      <w:proofErr w:type="spell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civilă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24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februarie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1998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duplicatele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stare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civilă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cu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excepţia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certificatelor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deces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termen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3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luni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pînă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b)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documentele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emise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Ministerul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Tehnologiilor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Informaţionale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Comunicaţiilor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  <w:t xml:space="preserve">    c)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cazierele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judiciare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emise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Ministerul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Afacerilor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Interne;</w:t>
      </w:r>
    </w:p>
    <w:p w:rsidR="00AA33B6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</w:t>
      </w:r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) </w:t>
      </w:r>
      <w:proofErr w:type="spell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studii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instituţiile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învăţămînt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acreditate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modul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stabilit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legislaţie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însoţite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confirmarea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instituţia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învăţămînt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studiu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Ministerul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Educaţiei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e)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actele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notariale</w:t>
      </w:r>
      <w:proofErr w:type="spell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f)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hotărîri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judecătoreşti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alte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emană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autorităţi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judiciare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inclusiv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instanţe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judecătoreşti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organe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procuraturii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grefieri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executori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judecătoreşti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g)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adeverinţele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Casa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Naţională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Asigurări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atestă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vechimea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muncă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h)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adeverinţele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medicale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Centrul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medical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specializat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examinarea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medicală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emigranţilor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imigranţilor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Centrul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naţional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ştiinţifico-practic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medicină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preventivă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/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Centrul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profilaxie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combatere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SIDA;</w:t>
      </w:r>
    </w:p>
    <w:p w:rsidR="00AA33B6" w:rsidRPr="00D6535D" w:rsidRDefault="00AA33B6" w:rsidP="00AA33B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AA33B6" w:rsidRPr="00D6535D" w:rsidRDefault="00AA33B6" w:rsidP="00AA33B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)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alte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organele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Republicii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Moldova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fizice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juridice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cad sub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incidenţa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art.1 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Convenţiei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privire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suprimarea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cerinţei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supralegalizării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străine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încheiate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Haga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5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octombrie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1961.</w:t>
      </w:r>
    </w:p>
    <w:p w:rsidR="00AA33B6" w:rsidRPr="00D6535D" w:rsidRDefault="00AA33B6" w:rsidP="00AA33B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AA33B6" w:rsidRPr="00D6535D" w:rsidRDefault="00AA33B6" w:rsidP="00AA33B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Ministerul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Afacerilor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Externe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Integrării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Europene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doar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documentele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administrative ale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autorităţilor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administraţiei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publice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centrale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emise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interes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propriu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Fac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excepţie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întocmite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autorităţile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administraţiei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publice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centrale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cererea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fizice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juridice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solicitante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proofErr w:type="gramEnd"/>
    </w:p>
    <w:p w:rsidR="00AA33B6" w:rsidRPr="00D6535D" w:rsidRDefault="00AA33B6" w:rsidP="00AA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 </w:t>
      </w:r>
    </w:p>
    <w:p w:rsidR="00AA33B6" w:rsidRPr="005F2C9E" w:rsidRDefault="00AA33B6" w:rsidP="00AA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Apostila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nu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se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aplică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pe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:</w:t>
      </w:r>
    </w:p>
    <w:p w:rsidR="00AA33B6" w:rsidRPr="00D6535D" w:rsidRDefault="00AA33B6" w:rsidP="00AA33B6">
      <w:pPr>
        <w:numPr>
          <w:ilvl w:val="0"/>
          <w:numId w:val="1"/>
        </w:numPr>
        <w:spacing w:before="278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documentele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întocmite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agenţii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diplomatici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consulari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Republicii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Moldova;</w:t>
      </w:r>
    </w:p>
    <w:p w:rsidR="00AA33B6" w:rsidRPr="00D6535D" w:rsidRDefault="00AA33B6" w:rsidP="00AA33B6">
      <w:pPr>
        <w:numPr>
          <w:ilvl w:val="0"/>
          <w:numId w:val="1"/>
        </w:numPr>
        <w:spacing w:before="100" w:beforeAutospacing="1" w:after="27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documentele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administrative care au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legătură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directă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cu o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operaţiune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comercială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vamală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A33B6" w:rsidRPr="00D6535D" w:rsidRDefault="00AA33B6" w:rsidP="00AA33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AA33B6" w:rsidRPr="005F2C9E" w:rsidRDefault="00AA33B6" w:rsidP="00AA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Aplicarea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apostilei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poate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fi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refuzată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dacă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:</w:t>
      </w:r>
    </w:p>
    <w:p w:rsidR="00AA33B6" w:rsidRPr="00D6535D" w:rsidRDefault="00AA33B6" w:rsidP="00AA33B6">
      <w:pPr>
        <w:numPr>
          <w:ilvl w:val="0"/>
          <w:numId w:val="2"/>
        </w:numPr>
        <w:spacing w:before="278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destinat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teritoriul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statului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nu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membru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Convenţiei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privire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suprimarea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cerinţei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supralegalizării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străine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formulat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obiecţii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împotriva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aderării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Republicii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Moldova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această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Convenţie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textul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nu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lizibil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rezultat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deteriorării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completat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semnat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creion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primit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intermediul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legăturii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faximile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conţine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completări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corectări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neconfirmate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nu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susceptibil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AA33B6" w:rsidRPr="00D6535D" w:rsidRDefault="00AA33B6" w:rsidP="00AA33B6">
      <w:pPr>
        <w:numPr>
          <w:ilvl w:val="0"/>
          <w:numId w:val="2"/>
        </w:numPr>
        <w:spacing w:before="100" w:beforeAutospacing="1" w:after="27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autoritatea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responsabilă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nu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deţine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specimenele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semnăturilor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oficiale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amprenta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sigiliilor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ştampilelor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instituţiilor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corespunzătoare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F2C9E" w:rsidRDefault="00AA33B6" w:rsidP="005F2C9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  </w:t>
      </w:r>
    </w:p>
    <w:p w:rsidR="00AA33B6" w:rsidRPr="005F2C9E" w:rsidRDefault="00AA33B6" w:rsidP="005F2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Apostila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se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aplică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pe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actul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original</w:t>
      </w:r>
    </w:p>
    <w:p w:rsidR="00AA33B6" w:rsidRPr="00D6535D" w:rsidRDefault="00AA33B6" w:rsidP="00AA33B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Dacă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12" w:history="1"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statul</w:t>
        </w:r>
        <w:proofErr w:type="spellEnd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AA33B6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destinatar</w:t>
        </w:r>
        <w:proofErr w:type="spellEnd"/>
      </w:hyperlink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necesară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traducerii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efectuate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statul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emitent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original,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limba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ţării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destinaţie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un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traducător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inclusiv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semnătura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traducătorului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legalizează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un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iar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final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traducerea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A33B6" w:rsidRPr="00D6535D" w:rsidRDefault="00AA33B6" w:rsidP="00AA33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 </w:t>
      </w:r>
    </w:p>
    <w:p w:rsidR="00AA33B6" w:rsidRPr="00D6535D" w:rsidRDefault="00AA33B6" w:rsidP="00AA33B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cazul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stare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civilă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certificatelor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medicale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pot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iniţial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traduse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aplicîndu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concomitent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originalul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traducerea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(De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exemplu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dacă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urmează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apostileze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un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certificat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naştere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atunci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poate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tradus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fiind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cusut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originalul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certificatului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traducere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depun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spre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aplicîndu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-se 2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certificatul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naştere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girul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semnăturii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traducătorului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).</w:t>
      </w:r>
    </w:p>
    <w:p w:rsidR="00AA33B6" w:rsidRPr="00D6535D" w:rsidRDefault="00AA33B6" w:rsidP="00AA33B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Această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procedură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este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aplicabilă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numai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cazul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statul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destinatar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nu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solicită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traducerea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originalul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atunci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urmează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pună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2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</w:t>
      </w:r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 prima</w:t>
      </w:r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originalul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iar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doua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oară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caz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fie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original, fie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după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girul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semnăturii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traducătorului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A33B6" w:rsidRPr="00D6535D" w:rsidRDefault="00AA33B6" w:rsidP="00AA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  <w:t> </w:t>
      </w:r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Cine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poate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depune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acte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spre</w:t>
      </w:r>
      <w:proofErr w:type="spellEnd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 xml:space="preserve"> </w:t>
      </w:r>
      <w:proofErr w:type="spellStart"/>
      <w:r w:rsidRPr="005F2C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u w:val="single"/>
        </w:rPr>
        <w:t>apostilare</w:t>
      </w:r>
      <w:proofErr w:type="spellEnd"/>
    </w:p>
    <w:p w:rsidR="00AA33B6" w:rsidRPr="00D6535D" w:rsidRDefault="00AA33B6" w:rsidP="00AA33B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pot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fie personal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întocmit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l-a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semnat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cazul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emise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autorităţile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administraţiei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publice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centrale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interes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propriu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fie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un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reprezentant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expres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împuternicit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mandat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procură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autentificată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 </w:t>
      </w:r>
    </w:p>
    <w:p w:rsidR="00AA33B6" w:rsidRPr="00D6535D" w:rsidRDefault="00AA33B6" w:rsidP="00AA33B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pot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AA33B6" w:rsidRPr="00D6535D" w:rsidRDefault="00AA33B6" w:rsidP="00AA33B6">
      <w:pPr>
        <w:numPr>
          <w:ilvl w:val="0"/>
          <w:numId w:val="3"/>
        </w:numPr>
        <w:spacing w:before="278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personal</w:t>
      </w:r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către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întocmit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depune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aplicarea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apostilei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propriu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buletinul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original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acestuia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).</w:t>
      </w:r>
    </w:p>
    <w:p w:rsidR="00AA33B6" w:rsidRPr="00D6535D" w:rsidRDefault="00AA33B6" w:rsidP="00AA33B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rudele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pînă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gradul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IV (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părinţi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bunei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nepoţi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fraţi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/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surori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veri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primari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nepoţi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frate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/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soră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unchi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strănepoţi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străbunei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),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soţi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tutori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curatori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 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documentele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confirmă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raporturile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rudenie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căsătorie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instituirea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tutelei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curatelei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buletinul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original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acestuia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depune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documentelor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confirmă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rudenia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buletinului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titularului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).</w:t>
      </w:r>
    </w:p>
    <w:p w:rsidR="00AA33B6" w:rsidRPr="00D6535D" w:rsidRDefault="00AA33B6" w:rsidP="00AA33B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reprezentant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expres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împuternicit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mandat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procură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autentificată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depune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buletinul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original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acestuia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la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dosar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anexa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buletinului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depunătorului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originalul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procurii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/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mandatului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buletinului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mandantului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).</w:t>
      </w:r>
    </w:p>
    <w:p w:rsidR="00675520" w:rsidRDefault="00AA33B6" w:rsidP="00AA33B6">
      <w:pPr>
        <w:numPr>
          <w:ilvl w:val="0"/>
          <w:numId w:val="3"/>
        </w:numPr>
        <w:spacing w:before="100" w:beforeAutospacing="1" w:after="27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proofErr w:type="gram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cazul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reprezentanţilor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întreprinderilor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societăţilor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comerciale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altor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juridice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se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procura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alt document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legalizează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împuternicirile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reprezentatului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fie indicate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datele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personale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împuternicite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(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depune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actele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prezenta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buletinul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identitate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acestuia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procura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documentul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original (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legalizată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notarial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acestora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),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legalizează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împuternicirile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reprezentatului</w:t>
      </w:r>
      <w:proofErr w:type="spellEnd"/>
      <w:r w:rsidRPr="00D653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).  </w:t>
      </w:r>
    </w:p>
    <w:p w:rsidR="005F2C9E" w:rsidRDefault="005F2C9E" w:rsidP="005F2C9E">
      <w:pPr>
        <w:spacing w:before="100" w:beforeAutospacing="1" w:after="278" w:line="240" w:lineRule="auto"/>
        <w:ind w:left="7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5F2C9E" w:rsidRDefault="005F2C9E" w:rsidP="005F2C9E">
      <w:pPr>
        <w:spacing w:before="100" w:beforeAutospacing="1" w:after="27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5F2C9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Sursa</w:t>
      </w:r>
      <w:proofErr w:type="spellEnd"/>
      <w:r w:rsidRPr="005F2C9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13" w:history="1">
        <w:r w:rsidRPr="00C47C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www.justice.gov.md</w:t>
        </w:r>
      </w:hyperlink>
    </w:p>
    <w:p w:rsidR="005F2C9E" w:rsidRPr="00AA33B6" w:rsidRDefault="005F2C9E" w:rsidP="005F2C9E">
      <w:pPr>
        <w:spacing w:before="100" w:beforeAutospacing="1" w:after="27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sectPr w:rsidR="005F2C9E" w:rsidRPr="00AA33B6" w:rsidSect="00152A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180"/>
    <w:multiLevelType w:val="multilevel"/>
    <w:tmpl w:val="D52A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4459E"/>
    <w:multiLevelType w:val="multilevel"/>
    <w:tmpl w:val="18E8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E1FDD"/>
    <w:multiLevelType w:val="multilevel"/>
    <w:tmpl w:val="22B4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3B6"/>
    <w:rsid w:val="000A3C44"/>
    <w:rsid w:val="00152AE5"/>
    <w:rsid w:val="001768BB"/>
    <w:rsid w:val="005F2C9E"/>
    <w:rsid w:val="00A509F1"/>
    <w:rsid w:val="00AA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E5"/>
  </w:style>
  <w:style w:type="paragraph" w:styleId="Heading1">
    <w:name w:val="heading 1"/>
    <w:basedOn w:val="Normal"/>
    <w:link w:val="Heading1Char"/>
    <w:uiPriority w:val="9"/>
    <w:qFormat/>
    <w:rsid w:val="00AA3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A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33B6"/>
    <w:rPr>
      <w:b/>
      <w:bCs/>
    </w:rPr>
  </w:style>
  <w:style w:type="character" w:styleId="Emphasis">
    <w:name w:val="Emphasis"/>
    <w:basedOn w:val="DefaultParagraphFont"/>
    <w:uiPriority w:val="20"/>
    <w:qFormat/>
    <w:rsid w:val="00AA33B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33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gov.md/apostila.gov.md/file/Anexa%20nr1.doc" TargetMode="External"/><Relationship Id="rId13" Type="http://schemas.openxmlformats.org/officeDocument/2006/relationships/hyperlink" Target="http://www.justice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tice.gov.md/apostila.gov.md/file/Conventia%20Haga.doc" TargetMode="External"/><Relationship Id="rId12" Type="http://schemas.openxmlformats.org/officeDocument/2006/relationships/hyperlink" Target="http://www.justice.gov.md/apostila.gov.md/file/Lista%20statelor%20parti%20la%20Conventia%20cu%20privire%20la%20suprimarea%20cerintei%20supralegalizarii%20actelo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justice.md/index.php?action=view&amp;view=doc&amp;lang=1&amp;id=321063" TargetMode="External"/><Relationship Id="rId11" Type="http://schemas.openxmlformats.org/officeDocument/2006/relationships/hyperlink" Target="http://www.justice.gov.md/apostila.gov.md/file/Lista%20statelor%20parti%20la%20Conventia%20cu%20privire%20la%20suprimarea%20cerintei%20supralegalizarii%20actelor.doc" TargetMode="External"/><Relationship Id="rId5" Type="http://schemas.openxmlformats.org/officeDocument/2006/relationships/hyperlink" Target="http://lex.justice.md/index.php?action=view&amp;view=doc&amp;lang=1&amp;id=31567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x.justice.md/index.php?action=view&amp;view=doc&amp;lang=1&amp;id=321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.md/apostila.gov.md/file/Lista%20statelor%20parti%20la%20Conventia%20cu%20privire%20la%20suprimarea%20cerintei%20supralegalizarii%20actelor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1353</Words>
  <Characters>7714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ecaterina.tutuescu</dc:creator>
  <cp:keywords/>
  <dc:description/>
  <cp:lastModifiedBy>ecaterina.tutuescu</cp:lastModifiedBy>
  <cp:revision>2</cp:revision>
  <dcterms:created xsi:type="dcterms:W3CDTF">2011-05-03T12:56:00Z</dcterms:created>
  <dcterms:modified xsi:type="dcterms:W3CDTF">2011-05-03T13:15:00Z</dcterms:modified>
</cp:coreProperties>
</file>